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4BD" w:rsidRDefault="008C44BD" w:rsidP="00247390">
      <w:pPr>
        <w:pStyle w:val="Heading1"/>
      </w:pPr>
      <w:r>
        <w:t>Purpose</w:t>
      </w:r>
    </w:p>
    <w:p w:rsidR="00845DD6" w:rsidRPr="00845DD6" w:rsidRDefault="00DA1B75" w:rsidP="00247390">
      <w:pPr>
        <w:pStyle w:val="Heading1"/>
        <w:rPr>
          <w:rFonts w:asciiTheme="minorHAnsi" w:eastAsiaTheme="minorHAnsi" w:hAnsiTheme="minorHAnsi" w:cstheme="minorBidi"/>
          <w:b w:val="0"/>
          <w:bCs w:val="0"/>
          <w:sz w:val="22"/>
          <w:szCs w:val="22"/>
        </w:rPr>
      </w:pPr>
      <w:r>
        <w:rPr>
          <w:rFonts w:asciiTheme="minorHAnsi" w:eastAsiaTheme="minorHAnsi" w:hAnsiTheme="minorHAnsi" w:cstheme="minorBidi"/>
          <w:b w:val="0"/>
          <w:bCs w:val="0"/>
          <w:sz w:val="22"/>
          <w:szCs w:val="22"/>
        </w:rPr>
        <w:t xml:space="preserve">To ensure that the open disclosure process will occur </w:t>
      </w:r>
      <w:r w:rsidR="00845DD6" w:rsidRPr="00845DD6">
        <w:rPr>
          <w:rFonts w:asciiTheme="minorHAnsi" w:eastAsiaTheme="minorHAnsi" w:hAnsiTheme="minorHAnsi" w:cstheme="minorBidi"/>
          <w:b w:val="0"/>
          <w:bCs w:val="0"/>
          <w:sz w:val="22"/>
          <w:szCs w:val="22"/>
        </w:rPr>
        <w:t>in the event that things go wrong, the patient and their family will be provided with information about what happened in a timely, open and honest manner</w:t>
      </w:r>
      <w:r w:rsidR="00845DD6">
        <w:rPr>
          <w:rFonts w:asciiTheme="minorHAnsi" w:eastAsiaTheme="minorHAnsi" w:hAnsiTheme="minorHAnsi" w:cstheme="minorBidi"/>
          <w:b w:val="0"/>
          <w:bCs w:val="0"/>
          <w:sz w:val="22"/>
          <w:szCs w:val="22"/>
        </w:rPr>
        <w:t>.</w:t>
      </w:r>
    </w:p>
    <w:p w:rsidR="00845DD6" w:rsidRDefault="00845DD6" w:rsidP="00247390">
      <w:pPr>
        <w:pStyle w:val="Heading1"/>
      </w:pPr>
    </w:p>
    <w:p w:rsidR="00504DB3" w:rsidRDefault="008C44BD" w:rsidP="00845DD6">
      <w:pPr>
        <w:pStyle w:val="Heading1"/>
        <w:tabs>
          <w:tab w:val="left" w:pos="6000"/>
        </w:tabs>
      </w:pPr>
      <w:r>
        <w:t>Process</w:t>
      </w:r>
      <w:r w:rsidR="00845DD6">
        <w:tab/>
      </w:r>
    </w:p>
    <w:p w:rsidR="00845DD6" w:rsidRDefault="00845DD6" w:rsidP="008C44BD">
      <w:r>
        <w:t xml:space="preserve"> </w:t>
      </w:r>
    </w:p>
    <w:p w:rsidR="00845DD6" w:rsidRDefault="00DA1B75" w:rsidP="008C44BD">
      <w:r>
        <w:t xml:space="preserve">In the event that </w:t>
      </w:r>
      <w:r w:rsidR="00845DD6">
        <w:t xml:space="preserve">an adverse event has occurred </w:t>
      </w:r>
      <w:r>
        <w:t xml:space="preserve">or something has gone wrong, the </w:t>
      </w:r>
      <w:r w:rsidR="00845DD6">
        <w:t>open disclosure</w:t>
      </w:r>
      <w:r>
        <w:t xml:space="preserve"> process will be initiated</w:t>
      </w:r>
      <w:r w:rsidR="00845DD6">
        <w:t>.  . The patient and their family will receive an apology or expression of regret for any harm that has resulted from an adverse event as early as possible. An apology or expression of regret will contain the words ‘I am sorry’ or ‘we are sorry’ but will not contain speculative statements, admission of liability or blame.</w:t>
      </w:r>
      <w:r w:rsidRPr="00DA1B75">
        <w:t xml:space="preserve"> </w:t>
      </w:r>
      <w:r>
        <w:t>Communication will occur in an honest and timely manner</w:t>
      </w:r>
    </w:p>
    <w:p w:rsidR="00845DD6" w:rsidRDefault="00845DD6" w:rsidP="008C44BD">
      <w:r>
        <w:t>The patient and their family can expect to be:</w:t>
      </w:r>
    </w:p>
    <w:p w:rsidR="00845DD6" w:rsidRDefault="00845DD6" w:rsidP="00845DD6">
      <w:pPr>
        <w:pStyle w:val="ListParagraph"/>
        <w:numPr>
          <w:ilvl w:val="0"/>
          <w:numId w:val="27"/>
        </w:numPr>
      </w:pPr>
      <w:r>
        <w:t>Fully informed of the facts surrounding an adverse event</w:t>
      </w:r>
      <w:r w:rsidR="007A3995">
        <w:t>, including the known facts and consequences of the adverse evet</w:t>
      </w:r>
    </w:p>
    <w:p w:rsidR="00845DD6" w:rsidRDefault="00845DD6" w:rsidP="00845DD6">
      <w:pPr>
        <w:pStyle w:val="ListParagraph"/>
        <w:numPr>
          <w:ilvl w:val="0"/>
          <w:numId w:val="27"/>
        </w:numPr>
      </w:pPr>
      <w:r>
        <w:t>Treated with empathy, respect and consideration</w:t>
      </w:r>
    </w:p>
    <w:p w:rsidR="00845DD6" w:rsidRDefault="00845DD6" w:rsidP="00845DD6">
      <w:pPr>
        <w:pStyle w:val="ListParagraph"/>
        <w:numPr>
          <w:ilvl w:val="0"/>
          <w:numId w:val="27"/>
        </w:numPr>
      </w:pPr>
      <w:r>
        <w:t>Supported in a manner appropriate to their needs</w:t>
      </w:r>
    </w:p>
    <w:p w:rsidR="00845DD6" w:rsidRDefault="00845DD6" w:rsidP="00845DD6">
      <w:pPr>
        <w:pStyle w:val="ListParagraph"/>
        <w:numPr>
          <w:ilvl w:val="0"/>
          <w:numId w:val="27"/>
        </w:numPr>
      </w:pPr>
      <w:r>
        <w:t>Be provided with information in a timely matter</w:t>
      </w:r>
    </w:p>
    <w:p w:rsidR="007A3995" w:rsidRDefault="007A3995" w:rsidP="00845DD6">
      <w:pPr>
        <w:pStyle w:val="ListParagraph"/>
        <w:numPr>
          <w:ilvl w:val="0"/>
          <w:numId w:val="27"/>
        </w:numPr>
      </w:pPr>
      <w:r>
        <w:t>Have an opportunity to tell the clinicians their story about the adverse event to explain their views on what happened and ask questions.</w:t>
      </w:r>
    </w:p>
    <w:p w:rsidR="007D269E" w:rsidRDefault="007D269E" w:rsidP="007D269E">
      <w:pPr>
        <w:pStyle w:val="Heading2"/>
      </w:pPr>
    </w:p>
    <w:p w:rsidR="00A22C6B" w:rsidRDefault="00DA1B75" w:rsidP="005C7EC4">
      <w:r>
        <w:t xml:space="preserve">All staff are required to complete open disclosure education. Staff are </w:t>
      </w:r>
      <w:r w:rsidR="007A3995">
        <w:t>encouraged to recognise an</w:t>
      </w:r>
      <w:r>
        <w:t xml:space="preserve">d report any adverse events </w:t>
      </w:r>
      <w:r w:rsidR="007A3995">
        <w:t>and are supported through the open disclosure process.</w:t>
      </w:r>
    </w:p>
    <w:p w:rsidR="007A3995" w:rsidRDefault="007A3995" w:rsidP="005C7EC4">
      <w:r>
        <w:t>An open disclosure plan should be agreed upon and recorded in writing which outlines what the patient and their family hopes to achieve from the process and any questions they would like answered. A written account of any open disclosure meetings should be provided to the patent and their family. The patient and their family should be told the name and the role of everyone who attends the meetings and should be informed of any further reviews, the proposed process and the expected time frame.</w:t>
      </w:r>
    </w:p>
    <w:p w:rsidR="007A3995" w:rsidRDefault="007A3995" w:rsidP="005C7EC4">
      <w:r>
        <w:t>An offer of support to the patient and their family should include:</w:t>
      </w:r>
    </w:p>
    <w:p w:rsidR="007A3995" w:rsidRDefault="007A3995" w:rsidP="007A3995">
      <w:pPr>
        <w:pStyle w:val="ListParagraph"/>
        <w:numPr>
          <w:ilvl w:val="0"/>
          <w:numId w:val="28"/>
        </w:numPr>
      </w:pPr>
      <w:r>
        <w:t>Information about how to take the matter further</w:t>
      </w:r>
    </w:p>
    <w:p w:rsidR="007A3995" w:rsidRDefault="007A3995" w:rsidP="007A3995">
      <w:pPr>
        <w:pStyle w:val="ListParagraph"/>
        <w:numPr>
          <w:ilvl w:val="0"/>
          <w:numId w:val="28"/>
        </w:numPr>
      </w:pPr>
      <w:r>
        <w:t>Assurance that the necessary follow-up care or investigation will be prompt and efficient</w:t>
      </w:r>
    </w:p>
    <w:p w:rsidR="007A3995" w:rsidRDefault="007A3995" w:rsidP="007A3995">
      <w:pPr>
        <w:pStyle w:val="ListParagraph"/>
        <w:numPr>
          <w:ilvl w:val="0"/>
          <w:numId w:val="28"/>
        </w:numPr>
      </w:pPr>
      <w:r>
        <w:lastRenderedPageBreak/>
        <w:t>Contact details for services they may need to access</w:t>
      </w:r>
    </w:p>
    <w:p w:rsidR="007A3995" w:rsidRDefault="007A3995" w:rsidP="007A3995">
      <w:pPr>
        <w:pStyle w:val="ListParagraph"/>
        <w:numPr>
          <w:ilvl w:val="0"/>
          <w:numId w:val="0"/>
        </w:numPr>
        <w:ind w:left="720"/>
      </w:pPr>
    </w:p>
    <w:p w:rsidR="007A3995" w:rsidRDefault="007A3995" w:rsidP="007A3995">
      <w:pPr>
        <w:pStyle w:val="ListParagraph"/>
        <w:numPr>
          <w:ilvl w:val="0"/>
          <w:numId w:val="28"/>
        </w:numPr>
      </w:pPr>
      <w:r>
        <w:t>Ongoing support which may include reimbursement of out of pocket costs as a result from the adverse event.</w:t>
      </w:r>
    </w:p>
    <w:p w:rsidR="007A3995" w:rsidRDefault="007A3995" w:rsidP="007A3995"/>
    <w:p w:rsidR="007A3995" w:rsidRDefault="007A3995" w:rsidP="008B2F51">
      <w:pPr>
        <w:jc w:val="center"/>
      </w:pPr>
      <w:r>
        <w:t xml:space="preserve">See table 1 and 2 attached </w:t>
      </w:r>
      <w:r w:rsidR="00825F5C">
        <w:t>regard</w:t>
      </w:r>
      <w:r w:rsidR="00DA1B75">
        <w:t>ing incident responses from Open Disclosure Australian Framework</w:t>
      </w:r>
    </w:p>
    <w:p w:rsidR="00DA1B75" w:rsidRDefault="00DA1B75" w:rsidP="007A3995"/>
    <w:p w:rsidR="00975F9F" w:rsidRDefault="00975F9F" w:rsidP="007A3995">
      <w:pPr>
        <w:rPr>
          <w:rFonts w:ascii="Arial" w:eastAsiaTheme="majorEastAsia" w:hAnsi="Arial" w:cs="Arial"/>
          <w:b/>
          <w:bCs/>
          <w:sz w:val="28"/>
          <w:szCs w:val="28"/>
        </w:rPr>
      </w:pPr>
      <w:r w:rsidRPr="00975F9F">
        <w:rPr>
          <w:rFonts w:ascii="Arial" w:eastAsiaTheme="majorEastAsia" w:hAnsi="Arial" w:cs="Arial"/>
          <w:b/>
          <w:bCs/>
          <w:sz w:val="28"/>
          <w:szCs w:val="28"/>
        </w:rPr>
        <w:t>Related Policies and Forms</w:t>
      </w:r>
    </w:p>
    <w:p w:rsidR="00975F9F" w:rsidRPr="00975F9F" w:rsidRDefault="00975F9F" w:rsidP="007A3995">
      <w:r w:rsidRPr="00975F9F">
        <w:t>Open disclosure checklist and plan</w:t>
      </w:r>
    </w:p>
    <w:p w:rsidR="00975F9F" w:rsidRPr="00975F9F" w:rsidRDefault="00975F9F" w:rsidP="007A3995">
      <w:r w:rsidRPr="00975F9F">
        <w:t>Open disclosure patient questionnaire</w:t>
      </w:r>
    </w:p>
    <w:p w:rsidR="007D269E" w:rsidRPr="003665DC" w:rsidRDefault="007D269E" w:rsidP="005C7EC4">
      <w:pPr>
        <w:rPr>
          <w:i/>
        </w:rPr>
      </w:pPr>
    </w:p>
    <w:p w:rsidR="00504DB3" w:rsidRDefault="00504DB3" w:rsidP="00247390">
      <w:pPr>
        <w:pStyle w:val="Heading1"/>
      </w:pPr>
      <w:r w:rsidRPr="0003583A">
        <w:t>Legisl</w:t>
      </w:r>
      <w:r w:rsidR="00BC70CB">
        <w:t>ation, Standards and References</w:t>
      </w:r>
    </w:p>
    <w:p w:rsidR="00BC70CB" w:rsidRDefault="00F01EA0" w:rsidP="00BC70CB">
      <w:pPr>
        <w:pStyle w:val="ListParagraph"/>
        <w:numPr>
          <w:ilvl w:val="0"/>
          <w:numId w:val="26"/>
        </w:numPr>
        <w:spacing w:after="120"/>
        <w:contextualSpacing/>
      </w:pPr>
      <w:bookmarkStart w:id="0" w:name="_Toc410217700"/>
      <w:bookmarkStart w:id="1" w:name="_Toc410217999"/>
      <w:r>
        <w:t xml:space="preserve">Standard 1 </w:t>
      </w:r>
      <w:r w:rsidR="00BC70CB" w:rsidRPr="00511695">
        <w:t>National Safety and Quality Health Service Standards</w:t>
      </w:r>
      <w:r w:rsidR="00BC70CB">
        <w:t xml:space="preserve">, Australian Commission for Safety and Quality </w:t>
      </w:r>
      <w:bookmarkEnd w:id="0"/>
      <w:bookmarkEnd w:id="1"/>
      <w:r w:rsidR="00825F5C">
        <w:t>Version 2</w:t>
      </w:r>
    </w:p>
    <w:p w:rsidR="00832658" w:rsidRDefault="00825F5C" w:rsidP="00BC70CB">
      <w:pPr>
        <w:pStyle w:val="ListParagraph"/>
        <w:numPr>
          <w:ilvl w:val="0"/>
          <w:numId w:val="26"/>
        </w:numPr>
        <w:spacing w:after="120"/>
        <w:contextualSpacing/>
      </w:pPr>
      <w:r>
        <w:t>Australian Open Disclosure Framework 2014</w:t>
      </w:r>
    </w:p>
    <w:p w:rsidR="00825F5C" w:rsidRDefault="00825F5C" w:rsidP="00BC70CB">
      <w:pPr>
        <w:pStyle w:val="ListParagraph"/>
        <w:numPr>
          <w:ilvl w:val="0"/>
          <w:numId w:val="26"/>
        </w:numPr>
        <w:spacing w:after="120"/>
        <w:contextualSpacing/>
      </w:pPr>
      <w:r>
        <w:t>Australian Commission on Quality &amp; Safety</w:t>
      </w:r>
    </w:p>
    <w:p w:rsidR="00832658" w:rsidRDefault="00832658" w:rsidP="00825F5C">
      <w:pPr>
        <w:spacing w:after="120"/>
        <w:ind w:left="360"/>
        <w:contextualSpacing/>
      </w:pPr>
      <w:bookmarkStart w:id="2" w:name="_GoBack"/>
      <w:bookmarkEnd w:id="2"/>
    </w:p>
    <w:p w:rsidR="00247390" w:rsidRDefault="00247390" w:rsidP="007D269E">
      <w:pPr>
        <w:pStyle w:val="Heading1"/>
        <w:rPr>
          <w:rFonts w:cstheme="minorHAnsi"/>
          <w:b w:val="0"/>
          <w:color w:val="424242"/>
          <w:u w:val="single"/>
        </w:rPr>
      </w:pPr>
    </w:p>
    <w:sectPr w:rsidR="00247390" w:rsidSect="00975F9F">
      <w:headerReference w:type="even" r:id="rId7"/>
      <w:headerReference w:type="default" r:id="rId8"/>
      <w:footerReference w:type="even" r:id="rId9"/>
      <w:footerReference w:type="default" r:id="rId10"/>
      <w:headerReference w:type="first" r:id="rId11"/>
      <w:footerReference w:type="first" r:id="rId12"/>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7B2" w:rsidRDefault="001877B2" w:rsidP="00D21CCD">
      <w:pPr>
        <w:spacing w:after="0" w:line="240" w:lineRule="auto"/>
      </w:pPr>
      <w:r>
        <w:separator/>
      </w:r>
    </w:p>
  </w:endnote>
  <w:endnote w:type="continuationSeparator" w:id="0">
    <w:p w:rsidR="001877B2" w:rsidRDefault="001877B2" w:rsidP="00D21C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BEC" w:rsidRDefault="00625B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7685691"/>
      <w:docPartObj>
        <w:docPartGallery w:val="Page Numbers (Bottom of Page)"/>
        <w:docPartUnique/>
      </w:docPartObj>
    </w:sdtPr>
    <w:sdtEndPr/>
    <w:sdtContent>
      <w:sdt>
        <w:sdtPr>
          <w:id w:val="-1769616900"/>
          <w:docPartObj>
            <w:docPartGallery w:val="Page Numbers (Top of Page)"/>
            <w:docPartUnique/>
          </w:docPartObj>
        </w:sdtPr>
        <w:sdtEndPr/>
        <w:sdtContent>
          <w:p w:rsidR="00DA1B75" w:rsidRDefault="007D269E" w:rsidP="00025EC3">
            <w:pPr>
              <w:pStyle w:val="Footer"/>
              <w:pBdr>
                <w:top w:val="none" w:sz="0" w:space="0" w:color="auto"/>
              </w:pBdr>
            </w:pPr>
            <w:r>
              <w:t>Version 1.0</w:t>
            </w:r>
            <w:r w:rsidR="00922EFE">
              <w:tab/>
            </w:r>
            <w:r w:rsidR="00025EC3">
              <w:t>Uncontrolled when printed</w:t>
            </w:r>
          </w:p>
          <w:p w:rsidR="00D21CCD" w:rsidRPr="00025EC3" w:rsidRDefault="00DA1B75" w:rsidP="00025EC3">
            <w:pPr>
              <w:pStyle w:val="Footer"/>
              <w:pBdr>
                <w:top w:val="none" w:sz="0" w:space="0" w:color="auto"/>
              </w:pBdr>
            </w:pPr>
            <w:r>
              <w:t xml:space="preserve">June </w:t>
            </w:r>
            <w:r w:rsidR="007D269E">
              <w:t xml:space="preserve"> 2019</w:t>
            </w:r>
            <w:r w:rsidR="00025EC3">
              <w:tab/>
            </w:r>
            <w:r w:rsidR="00025EC3">
              <w:tab/>
              <w:t xml:space="preserve">Page </w:t>
            </w:r>
            <w:r w:rsidR="00025EC3">
              <w:rPr>
                <w:b/>
                <w:bCs/>
                <w:sz w:val="24"/>
                <w:szCs w:val="24"/>
              </w:rPr>
              <w:fldChar w:fldCharType="begin"/>
            </w:r>
            <w:r w:rsidR="00025EC3">
              <w:rPr>
                <w:b/>
                <w:bCs/>
              </w:rPr>
              <w:instrText xml:space="preserve"> PAGE </w:instrText>
            </w:r>
            <w:r w:rsidR="00025EC3">
              <w:rPr>
                <w:b/>
                <w:bCs/>
                <w:sz w:val="24"/>
                <w:szCs w:val="24"/>
              </w:rPr>
              <w:fldChar w:fldCharType="separate"/>
            </w:r>
            <w:r w:rsidR="00F01EA0">
              <w:rPr>
                <w:b/>
                <w:bCs/>
                <w:noProof/>
              </w:rPr>
              <w:t>1</w:t>
            </w:r>
            <w:r w:rsidR="00025EC3">
              <w:rPr>
                <w:b/>
                <w:bCs/>
                <w:sz w:val="24"/>
                <w:szCs w:val="24"/>
              </w:rPr>
              <w:fldChar w:fldCharType="end"/>
            </w:r>
            <w:r w:rsidR="00025EC3">
              <w:t xml:space="preserve"> of </w:t>
            </w:r>
            <w:r w:rsidR="00025EC3">
              <w:rPr>
                <w:b/>
                <w:bCs/>
                <w:sz w:val="24"/>
                <w:szCs w:val="24"/>
              </w:rPr>
              <w:fldChar w:fldCharType="begin"/>
            </w:r>
            <w:r w:rsidR="00025EC3">
              <w:rPr>
                <w:b/>
                <w:bCs/>
              </w:rPr>
              <w:instrText xml:space="preserve"> NUMPAGES  </w:instrText>
            </w:r>
            <w:r w:rsidR="00025EC3">
              <w:rPr>
                <w:b/>
                <w:bCs/>
                <w:sz w:val="24"/>
                <w:szCs w:val="24"/>
              </w:rPr>
              <w:fldChar w:fldCharType="separate"/>
            </w:r>
            <w:r w:rsidR="00F01EA0">
              <w:rPr>
                <w:b/>
                <w:bCs/>
                <w:noProof/>
              </w:rPr>
              <w:t>2</w:t>
            </w:r>
            <w:r w:rsidR="00025EC3">
              <w:rPr>
                <w:b/>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BEC" w:rsidRDefault="00625B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7B2" w:rsidRDefault="001877B2" w:rsidP="00D21CCD">
      <w:pPr>
        <w:spacing w:after="0" w:line="240" w:lineRule="auto"/>
      </w:pPr>
      <w:r>
        <w:separator/>
      </w:r>
    </w:p>
  </w:footnote>
  <w:footnote w:type="continuationSeparator" w:id="0">
    <w:p w:rsidR="001877B2" w:rsidRDefault="001877B2" w:rsidP="00D21C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BEC" w:rsidRDefault="00625B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8"/>
      <w:gridCol w:w="5676"/>
    </w:tblGrid>
    <w:tr w:rsidR="00504DB3" w:rsidTr="00504DB3">
      <w:tc>
        <w:tcPr>
          <w:tcW w:w="2120" w:type="pct"/>
          <w:shd w:val="clear" w:color="auto" w:fill="auto"/>
          <w:vAlign w:val="center"/>
        </w:tcPr>
        <w:p w:rsidR="00BE014A" w:rsidRDefault="00DA1B75" w:rsidP="00BE014A">
          <w:pPr>
            <w:pStyle w:val="CompanyName"/>
            <w:spacing w:after="0"/>
            <w:rPr>
              <w:b/>
              <w:bCs/>
              <w:sz w:val="24"/>
              <w:szCs w:val="24"/>
            </w:rPr>
          </w:pPr>
          <w:r>
            <w:rPr>
              <w:noProof/>
              <w:lang w:val="en-AU"/>
            </w:rPr>
            <w:drawing>
              <wp:inline distT="0" distB="0" distL="0" distR="0" wp14:anchorId="7F00D6EB" wp14:editId="5E41F785">
                <wp:extent cx="2409825" cy="1008380"/>
                <wp:effectExtent l="0" t="0" r="9525" b="1270"/>
                <wp:docPr id="1" name="Picture 1" descr="C:\Users\82315\Downloads\lipo logo.PNG"/>
                <wp:cNvGraphicFramePr/>
                <a:graphic xmlns:a="http://schemas.openxmlformats.org/drawingml/2006/main">
                  <a:graphicData uri="http://schemas.openxmlformats.org/drawingml/2006/picture">
                    <pic:pic xmlns:pic="http://schemas.openxmlformats.org/drawingml/2006/picture">
                      <pic:nvPicPr>
                        <pic:cNvPr id="1" name="Picture 1" descr="C:\Users\82315\Downloads\lipo logo.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1008380"/>
                        </a:xfrm>
                        <a:prstGeom prst="rect">
                          <a:avLst/>
                        </a:prstGeom>
                        <a:noFill/>
                        <a:ln>
                          <a:noFill/>
                        </a:ln>
                      </pic:spPr>
                    </pic:pic>
                  </a:graphicData>
                </a:graphic>
              </wp:inline>
            </w:drawing>
          </w:r>
        </w:p>
        <w:p w:rsidR="00504DB3" w:rsidRPr="000C502F" w:rsidRDefault="00504DB3" w:rsidP="00504DB3">
          <w:pPr>
            <w:pStyle w:val="Header"/>
            <w:spacing w:before="120" w:after="120"/>
            <w:jc w:val="left"/>
            <w:rPr>
              <w:rFonts w:eastAsia="Calibri"/>
              <w:szCs w:val="22"/>
            </w:rPr>
          </w:pPr>
        </w:p>
      </w:tc>
      <w:tc>
        <w:tcPr>
          <w:tcW w:w="2880" w:type="pct"/>
          <w:shd w:val="clear" w:color="auto" w:fill="auto"/>
          <w:vAlign w:val="center"/>
        </w:tcPr>
        <w:p w:rsidR="00504DB3" w:rsidRPr="000C502F" w:rsidRDefault="00845DD6" w:rsidP="00504DB3">
          <w:pPr>
            <w:pStyle w:val="Title"/>
            <w:spacing w:before="120"/>
          </w:pPr>
          <w:r>
            <w:t>Open Disclosure</w:t>
          </w:r>
          <w:r w:rsidR="00DA1B75">
            <w:t xml:space="preserve">    </w:t>
          </w:r>
          <w:r w:rsidR="00625BEC">
            <w:t>1.4</w:t>
          </w:r>
        </w:p>
      </w:tc>
    </w:tr>
  </w:tbl>
  <w:p w:rsidR="00504DB3" w:rsidRDefault="00504DB3" w:rsidP="00504DB3">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BEC" w:rsidRDefault="00625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01E6A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B6EF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8A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F6921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9696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1E8D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F025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CA3F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B87A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B8C77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123A0C"/>
    <w:multiLevelType w:val="hybridMultilevel"/>
    <w:tmpl w:val="60BC9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79499D"/>
    <w:multiLevelType w:val="hybridMultilevel"/>
    <w:tmpl w:val="A8E28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EAD3FDB"/>
    <w:multiLevelType w:val="hybridMultilevel"/>
    <w:tmpl w:val="D7D8F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2938F5"/>
    <w:multiLevelType w:val="hybridMultilevel"/>
    <w:tmpl w:val="AA4E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FC4451"/>
    <w:multiLevelType w:val="hybridMultilevel"/>
    <w:tmpl w:val="3D9E4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BCE6513"/>
    <w:multiLevelType w:val="hybridMultilevel"/>
    <w:tmpl w:val="BA26D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393B8D"/>
    <w:multiLevelType w:val="hybridMultilevel"/>
    <w:tmpl w:val="A1164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3E18F4"/>
    <w:multiLevelType w:val="hybridMultilevel"/>
    <w:tmpl w:val="2132E9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51142F7"/>
    <w:multiLevelType w:val="hybridMultilevel"/>
    <w:tmpl w:val="5D0AB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2645C7"/>
    <w:multiLevelType w:val="hybridMultilevel"/>
    <w:tmpl w:val="6F9AFC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3C4260"/>
    <w:multiLevelType w:val="hybridMultilevel"/>
    <w:tmpl w:val="5DBED6C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B233182"/>
    <w:multiLevelType w:val="hybridMultilevel"/>
    <w:tmpl w:val="E71CA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B76CCA"/>
    <w:multiLevelType w:val="hybridMultilevel"/>
    <w:tmpl w:val="7E4C8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8D059F0"/>
    <w:multiLevelType w:val="hybridMultilevel"/>
    <w:tmpl w:val="31DE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447CE1"/>
    <w:multiLevelType w:val="hybridMultilevel"/>
    <w:tmpl w:val="BCF48F36"/>
    <w:lvl w:ilvl="0" w:tplc="A1581D2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04C12AE"/>
    <w:multiLevelType w:val="hybridMultilevel"/>
    <w:tmpl w:val="8CA65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8127F2"/>
    <w:multiLevelType w:val="hybridMultilevel"/>
    <w:tmpl w:val="7674A0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0DA2729"/>
    <w:multiLevelType w:val="hybridMultilevel"/>
    <w:tmpl w:val="11228E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6"/>
  </w:num>
  <w:num w:numId="13">
    <w:abstractNumId w:val="19"/>
  </w:num>
  <w:num w:numId="14">
    <w:abstractNumId w:val="13"/>
  </w:num>
  <w:num w:numId="15">
    <w:abstractNumId w:val="10"/>
  </w:num>
  <w:num w:numId="16">
    <w:abstractNumId w:val="23"/>
  </w:num>
  <w:num w:numId="17">
    <w:abstractNumId w:val="12"/>
  </w:num>
  <w:num w:numId="18">
    <w:abstractNumId w:val="24"/>
  </w:num>
  <w:num w:numId="19">
    <w:abstractNumId w:val="11"/>
  </w:num>
  <w:num w:numId="20">
    <w:abstractNumId w:val="20"/>
  </w:num>
  <w:num w:numId="21">
    <w:abstractNumId w:val="25"/>
  </w:num>
  <w:num w:numId="22">
    <w:abstractNumId w:val="18"/>
  </w:num>
  <w:num w:numId="23">
    <w:abstractNumId w:val="21"/>
  </w:num>
  <w:num w:numId="24">
    <w:abstractNumId w:val="27"/>
  </w:num>
  <w:num w:numId="25">
    <w:abstractNumId w:val="14"/>
  </w:num>
  <w:num w:numId="26">
    <w:abstractNumId w:val="15"/>
  </w:num>
  <w:num w:numId="27">
    <w:abstractNumId w:val="2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CD"/>
    <w:rsid w:val="00025EC3"/>
    <w:rsid w:val="000A55A4"/>
    <w:rsid w:val="000C38B9"/>
    <w:rsid w:val="001877B2"/>
    <w:rsid w:val="001B4F30"/>
    <w:rsid w:val="00247390"/>
    <w:rsid w:val="00281004"/>
    <w:rsid w:val="002F5B63"/>
    <w:rsid w:val="00326C42"/>
    <w:rsid w:val="003665DC"/>
    <w:rsid w:val="003F0BA6"/>
    <w:rsid w:val="004509FD"/>
    <w:rsid w:val="00487376"/>
    <w:rsid w:val="00504DB3"/>
    <w:rsid w:val="0053647D"/>
    <w:rsid w:val="005739E8"/>
    <w:rsid w:val="005C7EC4"/>
    <w:rsid w:val="00604C4D"/>
    <w:rsid w:val="00625BEC"/>
    <w:rsid w:val="006D2351"/>
    <w:rsid w:val="0071642F"/>
    <w:rsid w:val="00735975"/>
    <w:rsid w:val="007A3995"/>
    <w:rsid w:val="007D1470"/>
    <w:rsid w:val="007D269E"/>
    <w:rsid w:val="008032C2"/>
    <w:rsid w:val="00824060"/>
    <w:rsid w:val="00825F5C"/>
    <w:rsid w:val="00832658"/>
    <w:rsid w:val="00845DD6"/>
    <w:rsid w:val="00863F6B"/>
    <w:rsid w:val="008B2F51"/>
    <w:rsid w:val="008C44BD"/>
    <w:rsid w:val="008E293F"/>
    <w:rsid w:val="00922EFE"/>
    <w:rsid w:val="009607DC"/>
    <w:rsid w:val="00962FD9"/>
    <w:rsid w:val="00975F9F"/>
    <w:rsid w:val="00A22C6B"/>
    <w:rsid w:val="00A4408D"/>
    <w:rsid w:val="00A95F19"/>
    <w:rsid w:val="00AA3A1A"/>
    <w:rsid w:val="00BC70CB"/>
    <w:rsid w:val="00BE014A"/>
    <w:rsid w:val="00C450A6"/>
    <w:rsid w:val="00C80231"/>
    <w:rsid w:val="00CE0682"/>
    <w:rsid w:val="00D21CCD"/>
    <w:rsid w:val="00D771D5"/>
    <w:rsid w:val="00DA1B75"/>
    <w:rsid w:val="00DD3C7F"/>
    <w:rsid w:val="00E2159B"/>
    <w:rsid w:val="00E46800"/>
    <w:rsid w:val="00E715C9"/>
    <w:rsid w:val="00E86C7B"/>
    <w:rsid w:val="00EF6FAD"/>
    <w:rsid w:val="00F01EA0"/>
    <w:rsid w:val="00F52A2D"/>
    <w:rsid w:val="00FE436A"/>
    <w:rsid w:val="00FF6F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A7C3631-F958-4673-8C40-2E517541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CCD"/>
  </w:style>
  <w:style w:type="paragraph" w:styleId="Heading1">
    <w:name w:val="heading 1"/>
    <w:basedOn w:val="Normal"/>
    <w:next w:val="Normal"/>
    <w:link w:val="Heading1Char"/>
    <w:uiPriority w:val="9"/>
    <w:qFormat/>
    <w:rsid w:val="00247390"/>
    <w:pPr>
      <w:keepNext/>
      <w:keepLines/>
      <w:spacing w:before="240" w:after="0"/>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D21CCD"/>
    <w:pPr>
      <w:keepNext/>
      <w:keepLines/>
      <w:spacing w:before="200" w:after="0"/>
      <w:outlineLvl w:val="1"/>
    </w:pPr>
    <w:rPr>
      <w:rFonts w:ascii="Arial" w:eastAsiaTheme="majorEastAsia" w:hAnsi="Arial" w:cs="Arial"/>
      <w:b/>
      <w:bCs/>
      <w:sz w:val="24"/>
      <w:szCs w:val="24"/>
    </w:rPr>
  </w:style>
  <w:style w:type="paragraph" w:styleId="Heading3">
    <w:name w:val="heading 3"/>
    <w:basedOn w:val="Normal"/>
    <w:next w:val="Normal"/>
    <w:link w:val="Heading3Char"/>
    <w:uiPriority w:val="9"/>
    <w:unhideWhenUsed/>
    <w:qFormat/>
    <w:rsid w:val="00863F6B"/>
    <w:pPr>
      <w:keepNext/>
      <w:keepLines/>
      <w:spacing w:before="20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8B9"/>
    <w:pPr>
      <w:tabs>
        <w:tab w:val="center" w:pos="4513"/>
        <w:tab w:val="right" w:pos="9026"/>
      </w:tabs>
      <w:spacing w:after="0" w:line="240" w:lineRule="auto"/>
      <w:jc w:val="center"/>
    </w:pPr>
    <w:rPr>
      <w:b/>
      <w:i/>
      <w:sz w:val="32"/>
      <w:szCs w:val="32"/>
    </w:rPr>
  </w:style>
  <w:style w:type="character" w:customStyle="1" w:styleId="HeaderChar">
    <w:name w:val="Header Char"/>
    <w:basedOn w:val="DefaultParagraphFont"/>
    <w:link w:val="Header"/>
    <w:uiPriority w:val="99"/>
    <w:rsid w:val="000C38B9"/>
    <w:rPr>
      <w:b/>
      <w:i/>
      <w:sz w:val="32"/>
      <w:szCs w:val="32"/>
    </w:rPr>
  </w:style>
  <w:style w:type="paragraph" w:styleId="Footer">
    <w:name w:val="footer"/>
    <w:basedOn w:val="Normal"/>
    <w:link w:val="FooterChar"/>
    <w:uiPriority w:val="99"/>
    <w:unhideWhenUsed/>
    <w:rsid w:val="000C38B9"/>
    <w:pPr>
      <w:pBdr>
        <w:top w:val="single" w:sz="4" w:space="1" w:color="auto"/>
      </w:pBdr>
      <w:tabs>
        <w:tab w:val="center" w:pos="4678"/>
        <w:tab w:val="right" w:pos="9639"/>
      </w:tabs>
      <w:spacing w:after="0" w:line="240" w:lineRule="auto"/>
    </w:pPr>
    <w:rPr>
      <w:rFonts w:ascii="Arial" w:hAnsi="Arial" w:cs="Arial"/>
      <w:sz w:val="16"/>
      <w:szCs w:val="16"/>
    </w:rPr>
  </w:style>
  <w:style w:type="character" w:customStyle="1" w:styleId="FooterChar">
    <w:name w:val="Footer Char"/>
    <w:basedOn w:val="DefaultParagraphFont"/>
    <w:link w:val="Footer"/>
    <w:uiPriority w:val="99"/>
    <w:rsid w:val="000C38B9"/>
    <w:rPr>
      <w:rFonts w:ascii="Arial" w:hAnsi="Arial" w:cs="Arial"/>
      <w:sz w:val="16"/>
      <w:szCs w:val="16"/>
    </w:rPr>
  </w:style>
  <w:style w:type="character" w:customStyle="1" w:styleId="Heading1Char">
    <w:name w:val="Heading 1 Char"/>
    <w:basedOn w:val="DefaultParagraphFont"/>
    <w:link w:val="Heading1"/>
    <w:uiPriority w:val="9"/>
    <w:rsid w:val="00247390"/>
    <w:rPr>
      <w:rFonts w:ascii="Arial" w:eastAsiaTheme="majorEastAsia" w:hAnsi="Arial" w:cs="Arial"/>
      <w:b/>
      <w:bCs/>
      <w:sz w:val="28"/>
      <w:szCs w:val="28"/>
    </w:rPr>
  </w:style>
  <w:style w:type="character" w:customStyle="1" w:styleId="Heading2Char">
    <w:name w:val="Heading 2 Char"/>
    <w:basedOn w:val="DefaultParagraphFont"/>
    <w:link w:val="Heading2"/>
    <w:uiPriority w:val="9"/>
    <w:rsid w:val="00D21CCD"/>
    <w:rPr>
      <w:rFonts w:ascii="Arial" w:eastAsiaTheme="majorEastAsia" w:hAnsi="Arial" w:cs="Arial"/>
      <w:b/>
      <w:bCs/>
      <w:sz w:val="24"/>
      <w:szCs w:val="24"/>
    </w:rPr>
  </w:style>
  <w:style w:type="character" w:customStyle="1" w:styleId="Heading3Char">
    <w:name w:val="Heading 3 Char"/>
    <w:basedOn w:val="DefaultParagraphFont"/>
    <w:link w:val="Heading3"/>
    <w:uiPriority w:val="9"/>
    <w:rsid w:val="00863F6B"/>
    <w:rPr>
      <w:rFonts w:asciiTheme="majorHAnsi" w:eastAsiaTheme="majorEastAsia" w:hAnsiTheme="majorHAnsi" w:cstheme="majorBidi"/>
      <w:b/>
      <w:bCs/>
    </w:rPr>
  </w:style>
  <w:style w:type="paragraph" w:styleId="BodyText">
    <w:name w:val="Body Text"/>
    <w:basedOn w:val="Normal"/>
    <w:link w:val="BodyTextChar"/>
    <w:uiPriority w:val="99"/>
    <w:unhideWhenUsed/>
    <w:rsid w:val="00D21CCD"/>
    <w:pPr>
      <w:spacing w:after="120"/>
    </w:pPr>
  </w:style>
  <w:style w:type="character" w:customStyle="1" w:styleId="BodyTextChar">
    <w:name w:val="Body Text Char"/>
    <w:basedOn w:val="DefaultParagraphFont"/>
    <w:link w:val="BodyText"/>
    <w:uiPriority w:val="99"/>
    <w:rsid w:val="00D21CCD"/>
  </w:style>
  <w:style w:type="paragraph" w:styleId="ListBullet">
    <w:name w:val="List Bullet"/>
    <w:basedOn w:val="Normal"/>
    <w:uiPriority w:val="99"/>
    <w:unhideWhenUsed/>
    <w:rsid w:val="00D21CCD"/>
    <w:pPr>
      <w:numPr>
        <w:numId w:val="1"/>
      </w:numPr>
      <w:contextualSpacing/>
    </w:pPr>
  </w:style>
  <w:style w:type="paragraph" w:styleId="ListNumber">
    <w:name w:val="List Number"/>
    <w:basedOn w:val="Normal"/>
    <w:uiPriority w:val="99"/>
    <w:unhideWhenUsed/>
    <w:rsid w:val="00D21CCD"/>
    <w:pPr>
      <w:numPr>
        <w:numId w:val="6"/>
      </w:numPr>
      <w:contextualSpacing/>
    </w:pPr>
  </w:style>
  <w:style w:type="table" w:styleId="TableGrid">
    <w:name w:val="Table Grid"/>
    <w:basedOn w:val="TableNormal"/>
    <w:rsid w:val="00D21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er"/>
    <w:next w:val="Normal"/>
    <w:link w:val="TitleChar"/>
    <w:uiPriority w:val="10"/>
    <w:qFormat/>
    <w:rsid w:val="000C38B9"/>
    <w:pPr>
      <w:spacing w:before="240" w:after="120"/>
    </w:pPr>
    <w:rPr>
      <w:i w:val="0"/>
      <w:sz w:val="36"/>
      <w:szCs w:val="36"/>
    </w:rPr>
  </w:style>
  <w:style w:type="character" w:customStyle="1" w:styleId="TitleChar">
    <w:name w:val="Title Char"/>
    <w:basedOn w:val="DefaultParagraphFont"/>
    <w:link w:val="Title"/>
    <w:uiPriority w:val="10"/>
    <w:rsid w:val="000C38B9"/>
    <w:rPr>
      <w:b/>
      <w:sz w:val="36"/>
      <w:szCs w:val="36"/>
    </w:rPr>
  </w:style>
  <w:style w:type="paragraph" w:styleId="ListParagraph">
    <w:name w:val="List Paragraph"/>
    <w:basedOn w:val="Body"/>
    <w:uiPriority w:val="34"/>
    <w:qFormat/>
    <w:rsid w:val="00247390"/>
    <w:pPr>
      <w:numPr>
        <w:numId w:val="18"/>
      </w:numPr>
      <w:spacing w:after="0" w:line="240" w:lineRule="auto"/>
      <w:ind w:left="714" w:hanging="357"/>
    </w:pPr>
  </w:style>
  <w:style w:type="paragraph" w:customStyle="1" w:styleId="Body">
    <w:name w:val="Body"/>
    <w:basedOn w:val="BodyText"/>
    <w:link w:val="BodyChar"/>
    <w:qFormat/>
    <w:rsid w:val="00A4408D"/>
    <w:pPr>
      <w:spacing w:before="120"/>
    </w:pPr>
  </w:style>
  <w:style w:type="character" w:customStyle="1" w:styleId="BodyChar">
    <w:name w:val="Body Char"/>
    <w:basedOn w:val="BodyTextChar"/>
    <w:link w:val="Body"/>
    <w:rsid w:val="00A4408D"/>
  </w:style>
  <w:style w:type="paragraph" w:styleId="BalloonText">
    <w:name w:val="Balloon Text"/>
    <w:basedOn w:val="Normal"/>
    <w:link w:val="BalloonTextChar"/>
    <w:uiPriority w:val="99"/>
    <w:semiHidden/>
    <w:unhideWhenUsed/>
    <w:rsid w:val="00FE4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36A"/>
    <w:rPr>
      <w:rFonts w:ascii="Segoe UI" w:hAnsi="Segoe UI" w:cs="Segoe UI"/>
      <w:sz w:val="18"/>
      <w:szCs w:val="18"/>
    </w:rPr>
  </w:style>
  <w:style w:type="paragraph" w:customStyle="1" w:styleId="CompanyName">
    <w:name w:val="Company Name"/>
    <w:rsid w:val="00BE014A"/>
    <w:pPr>
      <w:keepLines/>
      <w:spacing w:after="40" w:line="240" w:lineRule="atLeast"/>
      <w:jc w:val="center"/>
    </w:pPr>
    <w:rPr>
      <w:rFonts w:ascii="Garamond" w:eastAsia="Arial Unicode MS" w:hAnsi="Garamond" w:cs="Arial Unicode MS"/>
      <w:caps/>
      <w:color w:val="000000"/>
      <w:spacing w:val="75"/>
      <w:kern w:val="18"/>
      <w:sz w:val="21"/>
      <w:szCs w:val="21"/>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12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Therese</dc:creator>
  <cp:lastModifiedBy>luis Goldbaum</cp:lastModifiedBy>
  <cp:revision>4</cp:revision>
  <cp:lastPrinted>2016-07-14T06:52:00Z</cp:lastPrinted>
  <dcterms:created xsi:type="dcterms:W3CDTF">2019-06-27T09:58:00Z</dcterms:created>
  <dcterms:modified xsi:type="dcterms:W3CDTF">2020-03-02T00:00:00Z</dcterms:modified>
</cp:coreProperties>
</file>